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CE62" w14:textId="3AD453C9" w:rsidR="00B91DE6" w:rsidRDefault="00A32616">
      <w:pPr>
        <w:rPr>
          <w:b/>
          <w:bCs/>
          <w:sz w:val="28"/>
          <w:szCs w:val="28"/>
        </w:rPr>
      </w:pPr>
      <w:bookmarkStart w:id="0" w:name="_Int_3mIB415g"/>
      <w:r w:rsidRPr="3D9EC4AE">
        <w:rPr>
          <w:b/>
          <w:bCs/>
          <w:sz w:val="28"/>
          <w:szCs w:val="28"/>
        </w:rPr>
        <w:t>Standardisation of marking</w:t>
      </w:r>
      <w:bookmarkEnd w:id="0"/>
    </w:p>
    <w:p w14:paraId="7E9F11EB" w14:textId="408005DC" w:rsidR="00D7292D" w:rsidRPr="00B57D04" w:rsidRDefault="00D7292D" w:rsidP="00B57D04">
      <w:pPr>
        <w:pStyle w:val="ListParagraph"/>
        <w:numPr>
          <w:ilvl w:val="0"/>
          <w:numId w:val="11"/>
        </w:numPr>
        <w:rPr>
          <w:rFonts w:cstheme="minorHAnsi"/>
        </w:rPr>
      </w:pPr>
      <w:r w:rsidRPr="00B57D04">
        <w:rPr>
          <w:rFonts w:cstheme="minorHAnsi"/>
        </w:rPr>
        <w:t>Standardisation vs moderation</w:t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  <w:t>p.1</w:t>
      </w:r>
    </w:p>
    <w:p w14:paraId="4F07C3C3" w14:textId="135DA740" w:rsidR="00D7292D" w:rsidRPr="00B57D04" w:rsidRDefault="00D7292D" w:rsidP="00B57D04">
      <w:pPr>
        <w:pStyle w:val="ListParagraph"/>
        <w:numPr>
          <w:ilvl w:val="0"/>
          <w:numId w:val="11"/>
        </w:numPr>
        <w:rPr>
          <w:rFonts w:cstheme="minorHAnsi"/>
        </w:rPr>
      </w:pPr>
      <w:r w:rsidRPr="00B57D04">
        <w:rPr>
          <w:rFonts w:cstheme="minorHAnsi"/>
        </w:rPr>
        <w:t>Why is standardisation an important process?</w:t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  <w:t>p.1</w:t>
      </w:r>
    </w:p>
    <w:p w14:paraId="7CF10C77" w14:textId="133A7514" w:rsidR="00D7292D" w:rsidRPr="00B57D04" w:rsidRDefault="00D7292D" w:rsidP="3D9EC4AE">
      <w:pPr>
        <w:pStyle w:val="ListParagraph"/>
        <w:numPr>
          <w:ilvl w:val="0"/>
          <w:numId w:val="11"/>
        </w:numPr>
      </w:pPr>
      <w:r w:rsidRPr="3D9EC4AE">
        <w:t>How many times should standardisation take place in an academic year?</w:t>
      </w:r>
      <w:r>
        <w:tab/>
      </w:r>
      <w:r w:rsidR="00B57D04" w:rsidRPr="3D9EC4AE">
        <w:t>p.1</w:t>
      </w:r>
    </w:p>
    <w:p w14:paraId="0CDC37C3" w14:textId="25911370" w:rsidR="00D7292D" w:rsidRPr="00B57D04" w:rsidRDefault="00D7292D" w:rsidP="00B57D04">
      <w:pPr>
        <w:pStyle w:val="ListParagraph"/>
        <w:numPr>
          <w:ilvl w:val="0"/>
          <w:numId w:val="11"/>
        </w:numPr>
        <w:rPr>
          <w:rFonts w:cstheme="minorHAnsi"/>
        </w:rPr>
      </w:pPr>
      <w:r w:rsidRPr="00B57D04">
        <w:rPr>
          <w:rFonts w:cstheme="minorHAnsi"/>
        </w:rPr>
        <w:t xml:space="preserve">How can I implement standardisation? </w:t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  <w:t>p.2</w:t>
      </w:r>
    </w:p>
    <w:p w14:paraId="3C47CA31" w14:textId="4A490E24" w:rsidR="00D7292D" w:rsidRPr="00B57D04" w:rsidRDefault="00D7292D" w:rsidP="00B57D04">
      <w:pPr>
        <w:pStyle w:val="ListParagraph"/>
        <w:numPr>
          <w:ilvl w:val="0"/>
          <w:numId w:val="11"/>
        </w:numPr>
        <w:rPr>
          <w:rFonts w:cstheme="minorHAnsi"/>
        </w:rPr>
      </w:pPr>
      <w:r w:rsidRPr="00B57D04">
        <w:rPr>
          <w:rFonts w:cstheme="minorHAnsi"/>
        </w:rPr>
        <w:t>Should I run sessions face to face or online?</w:t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</w:r>
      <w:r w:rsidR="00B57D04">
        <w:rPr>
          <w:rFonts w:cstheme="minorHAnsi"/>
        </w:rPr>
        <w:tab/>
        <w:t>p.3</w:t>
      </w:r>
    </w:p>
    <w:p w14:paraId="09ED0169" w14:textId="5CBB9D4B" w:rsidR="00D7292D" w:rsidRPr="00B57D04" w:rsidRDefault="00B57D04" w:rsidP="00B57D04">
      <w:pPr>
        <w:pStyle w:val="ListParagraph"/>
        <w:numPr>
          <w:ilvl w:val="0"/>
          <w:numId w:val="11"/>
        </w:numPr>
        <w:rPr>
          <w:rFonts w:cstheme="minorHAnsi"/>
        </w:rPr>
      </w:pPr>
      <w:r w:rsidRPr="00B57D04">
        <w:rPr>
          <w:rFonts w:cstheme="minorHAnsi"/>
        </w:rPr>
        <w:t>References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p.4</w:t>
      </w:r>
    </w:p>
    <w:p w14:paraId="346B7373" w14:textId="2E4226B9" w:rsidR="00D7292D" w:rsidRPr="00D7292D" w:rsidRDefault="00D7292D">
      <w:pPr>
        <w:rPr>
          <w:b/>
          <w:bCs/>
        </w:rPr>
      </w:pPr>
      <w:r w:rsidRPr="00D7292D">
        <w:rPr>
          <w:b/>
          <w:bCs/>
        </w:rPr>
        <w:t xml:space="preserve">Standardisation vs moderation </w:t>
      </w:r>
    </w:p>
    <w:p w14:paraId="5374398C" w14:textId="3F1F7229" w:rsidR="00A32616" w:rsidRDefault="00A32616">
      <w:r>
        <w:t>There can be some confusion between standardisation and moderation so to clarify</w:t>
      </w:r>
      <w:r w:rsidR="00CF31D8">
        <w:t>:</w:t>
      </w:r>
    </w:p>
    <w:p w14:paraId="25EB8BAC" w14:textId="399B5137" w:rsidR="00A32616" w:rsidRDefault="00A32616">
      <w:r>
        <w:t xml:space="preserve">Standardisation should occur </w:t>
      </w:r>
      <w:r w:rsidRPr="531DB786">
        <w:rPr>
          <w:b/>
          <w:bCs/>
        </w:rPr>
        <w:t>before</w:t>
      </w:r>
      <w:r>
        <w:t xml:space="preserve"> the marking process and involves checking that all markers have a clear understanding of the marking </w:t>
      </w:r>
      <w:r w:rsidR="1B484B3A">
        <w:t xml:space="preserve">criteria and/or </w:t>
      </w:r>
      <w:r>
        <w:t xml:space="preserve">rubric, how to apply </w:t>
      </w:r>
      <w:r w:rsidR="5FF6B676">
        <w:t>them</w:t>
      </w:r>
      <w:r>
        <w:t xml:space="preserve">, clarify interpretation of terms and set a standard. </w:t>
      </w:r>
      <w:r w:rsidR="003C508A">
        <w:t xml:space="preserve">Standardisation is also known as examiner or </w:t>
      </w:r>
      <w:proofErr w:type="spellStart"/>
      <w:r w:rsidR="003C508A">
        <w:t>rater</w:t>
      </w:r>
      <w:proofErr w:type="spellEnd"/>
      <w:r w:rsidR="003C508A">
        <w:t xml:space="preserve"> training in the literature (</w:t>
      </w:r>
      <w:proofErr w:type="spellStart"/>
      <w:r w:rsidR="003C508A">
        <w:t>Greatorex</w:t>
      </w:r>
      <w:proofErr w:type="spellEnd"/>
      <w:r w:rsidR="003C508A">
        <w:t xml:space="preserve"> et al. 2019)</w:t>
      </w:r>
    </w:p>
    <w:p w14:paraId="104517F8" w14:textId="01B5A128" w:rsidR="00A32616" w:rsidRDefault="00A32616">
      <w:r>
        <w:t xml:space="preserve">Moderation checks the accuracy/fairness of marking and parity of feedback </w:t>
      </w:r>
      <w:r w:rsidRPr="00A32616">
        <w:rPr>
          <w:b/>
          <w:bCs/>
        </w:rPr>
        <w:t xml:space="preserve">after </w:t>
      </w:r>
      <w:r>
        <w:t xml:space="preserve">assessments have been marked. </w:t>
      </w:r>
    </w:p>
    <w:p w14:paraId="2FF42950" w14:textId="0A69E619" w:rsidR="00A32616" w:rsidRDefault="00A32616">
      <w:pPr>
        <w:rPr>
          <w:b/>
          <w:bCs/>
        </w:rPr>
      </w:pPr>
      <w:bookmarkStart w:id="1" w:name="_Hlk91024205"/>
      <w:r w:rsidRPr="00A32616">
        <w:rPr>
          <w:b/>
          <w:bCs/>
        </w:rPr>
        <w:t>Why is standardisation an important process?</w:t>
      </w:r>
    </w:p>
    <w:bookmarkEnd w:id="1"/>
    <w:p w14:paraId="03C5C9C7" w14:textId="679BBDC8" w:rsidR="00BF04A3" w:rsidRPr="008900DC" w:rsidRDefault="00951DB4">
      <w:pPr>
        <w:rPr>
          <w:b/>
          <w:bCs/>
        </w:rPr>
      </w:pPr>
      <w:r>
        <w:t>The University</w:t>
      </w:r>
      <w:r w:rsidR="00BF04A3">
        <w:t xml:space="preserve"> has clear</w:t>
      </w:r>
      <w:r w:rsidR="00BF04A3" w:rsidRPr="531DB786">
        <w:rPr>
          <w:b/>
          <w:bCs/>
        </w:rPr>
        <w:t xml:space="preserve"> </w:t>
      </w:r>
      <w:hyperlink r:id="rId10">
        <w:r w:rsidR="00C36B8A" w:rsidRPr="531DB786">
          <w:rPr>
            <w:rStyle w:val="Hyperlink"/>
          </w:rPr>
          <w:t>marking procedures</w:t>
        </w:r>
      </w:hyperlink>
      <w:r w:rsidR="008900DC" w:rsidRPr="531DB786">
        <w:rPr>
          <w:b/>
          <w:bCs/>
        </w:rPr>
        <w:t xml:space="preserve">. </w:t>
      </w:r>
      <w:r w:rsidR="00BF04A3">
        <w:t>However, pre-marking p</w:t>
      </w:r>
      <w:r w:rsidR="1C63773C">
        <w:t xml:space="preserve">rocesses </w:t>
      </w:r>
      <w:r w:rsidR="00BF04A3">
        <w:t>can vary</w:t>
      </w:r>
      <w:r w:rsidR="00CA72F2">
        <w:t>. Bear in mind that:</w:t>
      </w:r>
    </w:p>
    <w:p w14:paraId="5DDD2411" w14:textId="630A7313" w:rsidR="00BF04A3" w:rsidRPr="0051530A" w:rsidRDefault="00BF04A3" w:rsidP="00CA72F2">
      <w:pPr>
        <w:pStyle w:val="ListParagraph"/>
        <w:numPr>
          <w:ilvl w:val="0"/>
          <w:numId w:val="7"/>
        </w:numPr>
      </w:pPr>
      <w:r w:rsidRPr="0051530A">
        <w:t>Lack of formal processes can put academic standards at risk</w:t>
      </w:r>
    </w:p>
    <w:p w14:paraId="0D290049" w14:textId="3DFB703F" w:rsidR="00BE64CE" w:rsidRDefault="00BF04A3" w:rsidP="00CA72F2">
      <w:pPr>
        <w:pStyle w:val="ListParagraph"/>
        <w:numPr>
          <w:ilvl w:val="0"/>
          <w:numId w:val="7"/>
        </w:numPr>
      </w:pPr>
      <w:r>
        <w:t xml:space="preserve">Disparity between marks can lead to student </w:t>
      </w:r>
      <w:r w:rsidR="104BF5E6">
        <w:t>dissatisfaction as they often compare grades and feedback</w:t>
      </w:r>
      <w:r w:rsidR="00CA72F2">
        <w:t>.</w:t>
      </w:r>
      <w:r w:rsidR="29DE78F4">
        <w:t xml:space="preserve"> This can lead to negative feedback and potentially poorer NSS scores.</w:t>
      </w:r>
      <w:r w:rsidR="00CA72F2">
        <w:t xml:space="preserve"> </w:t>
      </w:r>
    </w:p>
    <w:p w14:paraId="011C2DE9" w14:textId="5E6E67E2" w:rsidR="00CA72F2" w:rsidRDefault="00CA72F2" w:rsidP="00CA72F2">
      <w:pPr>
        <w:pStyle w:val="ListParagraph"/>
        <w:numPr>
          <w:ilvl w:val="0"/>
          <w:numId w:val="7"/>
        </w:numPr>
      </w:pPr>
      <w:r>
        <w:t>Disparity between the amount</w:t>
      </w:r>
      <w:r w:rsidR="00CD185B">
        <w:t xml:space="preserve"> and quality</w:t>
      </w:r>
      <w:r>
        <w:t xml:space="preserve"> of feedback provided can lead to student dissatisfaction.</w:t>
      </w:r>
    </w:p>
    <w:p w14:paraId="7DAE0786" w14:textId="06A71E1A" w:rsidR="00E80C8B" w:rsidRDefault="00E80C8B" w:rsidP="00E80C8B">
      <w:r>
        <w:t xml:space="preserve">Standardisation is also one of the ways in which staff can adhere to the expectations </w:t>
      </w:r>
      <w:r w:rsidR="009B7E41">
        <w:t>for standards as outlined by the UK Quality Code for Higher Education (QAA, 2018).</w:t>
      </w:r>
    </w:p>
    <w:p w14:paraId="70FC0334" w14:textId="3A5FEEC7" w:rsidR="00CA72F2" w:rsidRPr="00346409" w:rsidRDefault="00CA72F2" w:rsidP="00CA72F2">
      <w:pPr>
        <w:rPr>
          <w:b/>
          <w:bCs/>
        </w:rPr>
      </w:pPr>
      <w:r w:rsidRPr="00346409">
        <w:rPr>
          <w:b/>
          <w:bCs/>
        </w:rPr>
        <w:t>How many times should standardisation take place in an academic year?</w:t>
      </w:r>
    </w:p>
    <w:p w14:paraId="0D5823B5" w14:textId="010C4B4D" w:rsidR="00CA72F2" w:rsidRDefault="00CA72F2" w:rsidP="00CA72F2">
      <w:r>
        <w:t xml:space="preserve">If you have an established teaching team who have marked </w:t>
      </w:r>
      <w:r w:rsidR="00346409">
        <w:t xml:space="preserve">consistently for some time then the need for standardisation should reduce. However, if the course or module has frequent changes of staff, staff on short term teaching contracts or </w:t>
      </w:r>
      <w:r w:rsidR="6309A19C">
        <w:t>staff new to teaching,</w:t>
      </w:r>
      <w:r w:rsidR="00346409">
        <w:t xml:space="preserve"> </w:t>
      </w:r>
      <w:r w:rsidR="00496250">
        <w:t>standardisation</w:t>
      </w:r>
      <w:r w:rsidR="00346409">
        <w:t xml:space="preserve"> will need to take place as often as needed to ensure all the team are marking to the same standard. </w:t>
      </w:r>
      <w:r w:rsidR="5CA30B38">
        <w:t>This is particularly relevant for new collaborative partners whose staff are likely to be unfamiliar with the module, course and marking criteria.</w:t>
      </w:r>
    </w:p>
    <w:p w14:paraId="4AED9F98" w14:textId="167FA5BD" w:rsidR="00346409" w:rsidRDefault="00346409" w:rsidP="00CA72F2">
      <w:r>
        <w:t xml:space="preserve">It is possible for standardisation to take place for less experienced markers alone, however, new staff will learn more from standardising alongside more experienced markers. </w:t>
      </w:r>
    </w:p>
    <w:p w14:paraId="78B885D1" w14:textId="77777777" w:rsidR="00846E9F" w:rsidRDefault="00846E9F" w:rsidP="00846E9F">
      <w:r>
        <w:t>In addition, there may be need to standardise if:</w:t>
      </w:r>
    </w:p>
    <w:p w14:paraId="3A05EFA5" w14:textId="0F778D11" w:rsidR="00846E9F" w:rsidRDefault="00846E9F" w:rsidP="00846E9F">
      <w:pPr>
        <w:pStyle w:val="ListParagraph"/>
        <w:numPr>
          <w:ilvl w:val="0"/>
          <w:numId w:val="10"/>
        </w:numPr>
      </w:pPr>
      <w:r>
        <w:t>Student feedback shows that marking has not been consistent or fair, or if there is the perception that some markers are harsh or generous.</w:t>
      </w:r>
    </w:p>
    <w:p w14:paraId="702949AB" w14:textId="39434D7C" w:rsidR="00846E9F" w:rsidRDefault="00846E9F" w:rsidP="00846E9F">
      <w:pPr>
        <w:pStyle w:val="ListParagraph"/>
        <w:numPr>
          <w:ilvl w:val="0"/>
          <w:numId w:val="8"/>
        </w:numPr>
      </w:pPr>
      <w:r>
        <w:t>A new assessment pattern or type of assessment is being trialled/implemented on a course/module.</w:t>
      </w:r>
    </w:p>
    <w:p w14:paraId="412B4105" w14:textId="13236261" w:rsidR="00B57D04" w:rsidRPr="00B90652" w:rsidRDefault="00CF31D8" w:rsidP="00B90652">
      <w:pPr>
        <w:pStyle w:val="ListParagraph"/>
        <w:numPr>
          <w:ilvl w:val="0"/>
          <w:numId w:val="8"/>
        </w:numPr>
      </w:pPr>
      <w:r>
        <w:lastRenderedPageBreak/>
        <w:t>M</w:t>
      </w:r>
      <w:r w:rsidR="00680412">
        <w:t>arking is taking place on m</w:t>
      </w:r>
      <w:r>
        <w:t>odules which have multiple markers and large class sizes</w:t>
      </w:r>
      <w:r w:rsidR="00680412">
        <w:t>.</w:t>
      </w:r>
      <w:r>
        <w:t xml:space="preserve"> </w:t>
      </w:r>
      <w:r w:rsidR="00680412">
        <w:t>A</w:t>
      </w:r>
      <w:r w:rsidR="00E949FC">
        <w:t xml:space="preserve">ssessors may have different interpretations and perceptions of students’ work which can cause </w:t>
      </w:r>
      <w:r w:rsidR="008816A3">
        <w:t>discrepancies</w:t>
      </w:r>
      <w:r w:rsidR="00E949FC">
        <w:t xml:space="preserve"> across marking teams (Gardener &amp; </w:t>
      </w:r>
      <w:r w:rsidR="008816A3">
        <w:t>Evans, 2018).</w:t>
      </w:r>
    </w:p>
    <w:p w14:paraId="04FFC26F" w14:textId="1E3BDB6D" w:rsidR="002E510B" w:rsidRDefault="002E510B">
      <w:pPr>
        <w:rPr>
          <w:b/>
          <w:bCs/>
        </w:rPr>
      </w:pPr>
      <w:r>
        <w:rPr>
          <w:b/>
          <w:bCs/>
        </w:rPr>
        <w:t xml:space="preserve">How can I implement standardisation? </w:t>
      </w:r>
    </w:p>
    <w:p w14:paraId="5B019769" w14:textId="2CAD101F" w:rsidR="00780ABE" w:rsidRDefault="007C5CF5">
      <w:r>
        <w:t xml:space="preserve">Subject areas with large cohorts of students typically </w:t>
      </w:r>
      <w:r w:rsidR="003B37FC">
        <w:t>requ</w:t>
      </w:r>
      <w:r w:rsidR="0079501D">
        <w:t xml:space="preserve">ire numerous markers, and ensuring consistency across a large team of markers </w:t>
      </w:r>
      <w:r w:rsidR="007D5084">
        <w:t>(</w:t>
      </w:r>
      <w:proofErr w:type="spellStart"/>
      <w:r w:rsidR="007D5084">
        <w:t>Beautel</w:t>
      </w:r>
      <w:proofErr w:type="spellEnd"/>
      <w:r w:rsidR="007D5084">
        <w:t>, et al 2017)</w:t>
      </w:r>
      <w:r w:rsidR="009D7097">
        <w:t>. As it is essential that work is returned within the 15 working day</w:t>
      </w:r>
      <w:r w:rsidR="00C77FED">
        <w:t xml:space="preserve"> </w:t>
      </w:r>
      <w:r w:rsidR="00C10A73">
        <w:t xml:space="preserve">policy (see </w:t>
      </w:r>
      <w:hyperlink r:id="rId11">
        <w:r w:rsidR="00C77FED" w:rsidRPr="3D9EC4AE">
          <w:rPr>
            <w:rStyle w:val="Hyperlink"/>
          </w:rPr>
          <w:t>Timely Feedback</w:t>
        </w:r>
      </w:hyperlink>
      <w:r w:rsidR="00E822DC" w:rsidRPr="3D9EC4AE">
        <w:rPr>
          <w:rStyle w:val="Hyperlink"/>
        </w:rPr>
        <w:t xml:space="preserve"> Policy</w:t>
      </w:r>
      <w:r w:rsidR="00C10A73">
        <w:t xml:space="preserve"> so co-ordinating standardisation and mo</w:t>
      </w:r>
      <w:r w:rsidR="0088349C">
        <w:t xml:space="preserve">deration can be challenging. </w:t>
      </w:r>
      <w:r w:rsidR="007C3AF2">
        <w:t xml:space="preserve">If an assessment has been implemented for the first </w:t>
      </w:r>
      <w:proofErr w:type="gramStart"/>
      <w:r w:rsidR="007C3AF2">
        <w:t>time</w:t>
      </w:r>
      <w:proofErr w:type="gramEnd"/>
      <w:r w:rsidR="007C3AF2">
        <w:t xml:space="preserve"> then it will be important to set the standard </w:t>
      </w:r>
      <w:r w:rsidR="001D1417">
        <w:t>and decide what features represent different levels, skills</w:t>
      </w:r>
      <w:r w:rsidR="00E822DC">
        <w:t>,</w:t>
      </w:r>
      <w:r w:rsidR="001D1417">
        <w:t xml:space="preserve"> etc. </w:t>
      </w:r>
      <w:r w:rsidR="00C27501">
        <w:t xml:space="preserve">but this will have to be </w:t>
      </w:r>
      <w:r w:rsidR="00D83B23">
        <w:t>o</w:t>
      </w:r>
      <w:r w:rsidR="007B7D9E">
        <w:t>nce an assessment has r</w:t>
      </w:r>
      <w:r w:rsidR="000C7C6A">
        <w:t>un</w:t>
      </w:r>
      <w:r w:rsidR="2546D8AE">
        <w:t>.</w:t>
      </w:r>
      <w:r w:rsidR="000C7C6A">
        <w:t xml:space="preserve"> </w:t>
      </w:r>
      <w:r w:rsidR="50A6264B">
        <w:t>S</w:t>
      </w:r>
      <w:r w:rsidR="000C7C6A">
        <w:t xml:space="preserve">amples can be collated to use in standardisation sessions </w:t>
      </w:r>
      <w:r w:rsidR="007C3AF2">
        <w:t xml:space="preserve">that </w:t>
      </w:r>
      <w:r w:rsidR="0048287B">
        <w:t>can be run at any time or be used for blind marking</w:t>
      </w:r>
      <w:r w:rsidR="005C1C2F">
        <w:t xml:space="preserve">. </w:t>
      </w:r>
    </w:p>
    <w:p w14:paraId="4D42BFD2" w14:textId="77777777" w:rsidR="00D749E2" w:rsidRDefault="005C1C2F">
      <w:r>
        <w:t>Standardisation processes can be implemented in numerous ways. Decisions can be made based on time available</w:t>
      </w:r>
      <w:r w:rsidR="00992BEC">
        <w:t xml:space="preserve"> and the size and experience of marking teams. </w:t>
      </w:r>
    </w:p>
    <w:p w14:paraId="1BD91E80" w14:textId="77777777" w:rsidR="00D749E2" w:rsidRDefault="00343354">
      <w:r>
        <w:t xml:space="preserve">All the examples in the table below </w:t>
      </w:r>
      <w:r w:rsidR="00D749E2">
        <w:t>can:</w:t>
      </w:r>
    </w:p>
    <w:p w14:paraId="24172981" w14:textId="270B540D" w:rsidR="005C1C2F" w:rsidRDefault="00D749E2" w:rsidP="00571CB1">
      <w:pPr>
        <w:pStyle w:val="ListParagraph"/>
        <w:numPr>
          <w:ilvl w:val="0"/>
          <w:numId w:val="3"/>
        </w:numPr>
      </w:pPr>
      <w:r>
        <w:t xml:space="preserve">be run online via </w:t>
      </w:r>
      <w:r w:rsidR="00571CB1">
        <w:t>MS Teams</w:t>
      </w:r>
      <w:r>
        <w:t xml:space="preserve"> or Blackboard Collaborate</w:t>
      </w:r>
    </w:p>
    <w:p w14:paraId="4DCF75B8" w14:textId="7248003E" w:rsidR="00D749E2" w:rsidRDefault="00571CB1" w:rsidP="00571CB1">
      <w:pPr>
        <w:pStyle w:val="ListParagraph"/>
        <w:numPr>
          <w:ilvl w:val="0"/>
          <w:numId w:val="3"/>
        </w:numPr>
      </w:pPr>
      <w:r>
        <w:t>Course</w:t>
      </w:r>
      <w:r w:rsidR="009E326F">
        <w:t xml:space="preserve"> Directors/Module leads may choose to employ a mix of the models as appropriate at different points in the academic calendar</w:t>
      </w:r>
    </w:p>
    <w:p w14:paraId="2E0735FF" w14:textId="1A5B6F92" w:rsidR="00860C8E" w:rsidRDefault="00571CB1" w:rsidP="00571CB1">
      <w:pPr>
        <w:pStyle w:val="ListParagraph"/>
        <w:numPr>
          <w:ilvl w:val="0"/>
          <w:numId w:val="3"/>
        </w:numPr>
      </w:pPr>
      <w:r>
        <w:t>a</w:t>
      </w:r>
      <w:r w:rsidR="00860C8E">
        <w:t xml:space="preserve">ll the models should have the opportunity for discussion of feedback </w:t>
      </w:r>
      <w:r w:rsidR="00DD36ED">
        <w:t xml:space="preserve">practices and participants in the process </w:t>
      </w:r>
      <w:r w:rsidR="00627DD8">
        <w:t xml:space="preserve">must be able to </w:t>
      </w:r>
      <w:r>
        <w:t>justify grades by reference to marking rubrics/and or learning outcomes.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3402"/>
        <w:gridCol w:w="3402"/>
      </w:tblGrid>
      <w:tr w:rsidR="00EA5E82" w14:paraId="48BBE611" w14:textId="77777777" w:rsidTr="3D9EC4AE">
        <w:tc>
          <w:tcPr>
            <w:tcW w:w="9782" w:type="dxa"/>
            <w:gridSpan w:val="3"/>
          </w:tcPr>
          <w:p w14:paraId="5FFB5A16" w14:textId="50DE2443" w:rsidR="00EA5E82" w:rsidRPr="0014659E" w:rsidRDefault="00EA5E82">
            <w:pPr>
              <w:rPr>
                <w:b/>
                <w:bCs/>
              </w:rPr>
            </w:pPr>
            <w:r w:rsidRPr="0014659E">
              <w:rPr>
                <w:b/>
                <w:bCs/>
              </w:rPr>
              <w:t>Examples of standardisation models</w:t>
            </w:r>
          </w:p>
        </w:tc>
      </w:tr>
      <w:tr w:rsidR="00343354" w14:paraId="2974752C" w14:textId="77777777" w:rsidTr="3D9EC4AE">
        <w:tc>
          <w:tcPr>
            <w:tcW w:w="2978" w:type="dxa"/>
            <w:shd w:val="clear" w:color="auto" w:fill="FBE4D5" w:themeFill="accent2" w:themeFillTint="33"/>
          </w:tcPr>
          <w:p w14:paraId="5BEA4148" w14:textId="3F2827B4" w:rsidR="00343354" w:rsidRDefault="009B1B8D">
            <w:r>
              <w:t>Model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4D7445E" w14:textId="7B6C2FD1" w:rsidR="00343354" w:rsidRDefault="009B1B8D">
            <w:r>
              <w:t>Advantages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166A27E" w14:textId="4AF2F00A" w:rsidR="00343354" w:rsidRDefault="009B1B8D">
            <w:r>
              <w:t>Disadvantages</w:t>
            </w:r>
          </w:p>
        </w:tc>
      </w:tr>
      <w:tr w:rsidR="00343354" w14:paraId="64C85819" w14:textId="77777777" w:rsidTr="3D9EC4AE">
        <w:tc>
          <w:tcPr>
            <w:tcW w:w="2978" w:type="dxa"/>
            <w:shd w:val="clear" w:color="auto" w:fill="FBE4D5" w:themeFill="accent2" w:themeFillTint="33"/>
          </w:tcPr>
          <w:p w14:paraId="17A902E6" w14:textId="04ACEAC9" w:rsidR="00343354" w:rsidRDefault="009B1B8D" w:rsidP="00AD53F5">
            <w:r>
              <w:t>‘Ideal’ model</w:t>
            </w:r>
            <w:r w:rsidR="00261236">
              <w:t xml:space="preserve"> – all markers are allocated a small number of assessments to mark individually and get together to discuss them in a meeting.</w:t>
            </w:r>
          </w:p>
          <w:p w14:paraId="54858CA7" w14:textId="77777777" w:rsidR="00261236" w:rsidRDefault="00261236"/>
          <w:p w14:paraId="73BFD1B4" w14:textId="5FA3BE9B" w:rsidR="00261236" w:rsidRDefault="00261236">
            <w:r>
              <w:t>This can be done using assignments from previous cohorts or current assessments</w:t>
            </w:r>
            <w:r w:rsidR="00FB34F9">
              <w:t>.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19352201" w14:textId="77777777" w:rsidR="00343354" w:rsidRDefault="003E7125" w:rsidP="00E92593">
            <w:pPr>
              <w:pStyle w:val="ListParagraph"/>
              <w:numPr>
                <w:ilvl w:val="0"/>
                <w:numId w:val="5"/>
              </w:numPr>
            </w:pPr>
            <w:r>
              <w:t xml:space="preserve">Discussion of standards between all markers helps ensure </w:t>
            </w:r>
            <w:r w:rsidR="00571050">
              <w:t xml:space="preserve">maximum support and minimum </w:t>
            </w:r>
            <w:r w:rsidR="009D3144">
              <w:t>deviation from the standard.</w:t>
            </w:r>
          </w:p>
          <w:p w14:paraId="097C6244" w14:textId="77777777" w:rsidR="00167243" w:rsidRDefault="00167243" w:rsidP="00E92593">
            <w:pPr>
              <w:pStyle w:val="ListParagraph"/>
              <w:numPr>
                <w:ilvl w:val="0"/>
                <w:numId w:val="5"/>
              </w:numPr>
            </w:pPr>
            <w:r>
              <w:t xml:space="preserve">Less experienced staff </w:t>
            </w:r>
            <w:r w:rsidR="00796931">
              <w:t xml:space="preserve">can </w:t>
            </w:r>
            <w:r w:rsidR="00982ACE">
              <w:t xml:space="preserve">ask questions and more experienced staff have the opportunity </w:t>
            </w:r>
            <w:r w:rsidR="004454B1">
              <w:t>to question assumptions.</w:t>
            </w:r>
          </w:p>
          <w:p w14:paraId="47E2EFAC" w14:textId="77777777" w:rsidR="004E2C96" w:rsidRDefault="004E2C96" w:rsidP="004454B1">
            <w:pPr>
              <w:rPr>
                <w:b/>
                <w:bCs/>
              </w:rPr>
            </w:pPr>
          </w:p>
          <w:p w14:paraId="20DCD37D" w14:textId="5014C553" w:rsidR="004454B1" w:rsidRPr="004E2C96" w:rsidRDefault="004454B1" w:rsidP="004454B1">
            <w:pPr>
              <w:rPr>
                <w:b/>
                <w:bCs/>
              </w:rPr>
            </w:pPr>
            <w:r w:rsidRPr="004E2C96">
              <w:rPr>
                <w:b/>
                <w:bCs/>
              </w:rPr>
              <w:t xml:space="preserve">Using samples from the current cohort </w:t>
            </w:r>
            <w:r w:rsidR="00954836" w:rsidRPr="004E2C96">
              <w:rPr>
                <w:b/>
                <w:bCs/>
              </w:rPr>
              <w:t xml:space="preserve">cuts down </w:t>
            </w:r>
            <w:r w:rsidR="00CA65C5" w:rsidRPr="004E2C96">
              <w:rPr>
                <w:b/>
                <w:bCs/>
              </w:rPr>
              <w:t xml:space="preserve">overall marking time but the meetings can take longer </w:t>
            </w:r>
            <w:r w:rsidR="004E2C96" w:rsidRPr="004E2C96">
              <w:rPr>
                <w:b/>
                <w:bCs/>
              </w:rPr>
              <w:t>to set a standard.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BF99930" w14:textId="77777777" w:rsidR="00343354" w:rsidRDefault="00B71A37" w:rsidP="00473E97">
            <w:pPr>
              <w:pStyle w:val="ListParagraph"/>
              <w:numPr>
                <w:ilvl w:val="0"/>
                <w:numId w:val="4"/>
              </w:numPr>
            </w:pPr>
            <w:r>
              <w:t>Requires all staff to be available at the same time</w:t>
            </w:r>
            <w:r w:rsidR="003A255A">
              <w:t>.</w:t>
            </w:r>
          </w:p>
          <w:p w14:paraId="3750850D" w14:textId="77777777" w:rsidR="003A255A" w:rsidRDefault="003A255A" w:rsidP="00E92593">
            <w:pPr>
              <w:pStyle w:val="ListParagraph"/>
              <w:numPr>
                <w:ilvl w:val="0"/>
                <w:numId w:val="4"/>
              </w:numPr>
            </w:pPr>
            <w:r>
              <w:t xml:space="preserve">The session </w:t>
            </w:r>
            <w:r w:rsidR="00473E97">
              <w:t>can be time-consuming</w:t>
            </w:r>
            <w:r w:rsidR="00E92593">
              <w:t xml:space="preserve"> because of the amount of discussion. </w:t>
            </w:r>
          </w:p>
          <w:p w14:paraId="18BF906A" w14:textId="4D6C5FA6" w:rsidR="00E92593" w:rsidRDefault="451249D2" w:rsidP="00E92593">
            <w:pPr>
              <w:pStyle w:val="ListParagraph"/>
              <w:numPr>
                <w:ilvl w:val="0"/>
                <w:numId w:val="4"/>
              </w:numPr>
            </w:pPr>
            <w:r>
              <w:t xml:space="preserve">Less experienced markers </w:t>
            </w:r>
            <w:r w:rsidR="5DBE35C7">
              <w:t>may feel intimidated and afraid to ask questions or challenge decisions</w:t>
            </w:r>
            <w:r w:rsidR="3D3C37FE">
              <w:t>.</w:t>
            </w:r>
            <w:r w:rsidR="31656C0A">
              <w:t xml:space="preserve"> Ensure that new markers are encouraged to ask questions to overcome this.</w:t>
            </w:r>
          </w:p>
          <w:p w14:paraId="23BE4081" w14:textId="77777777" w:rsidR="001729BD" w:rsidRDefault="001729BD" w:rsidP="00276067">
            <w:pPr>
              <w:ind w:left="360"/>
              <w:rPr>
                <w:b/>
                <w:bCs/>
              </w:rPr>
            </w:pPr>
          </w:p>
          <w:p w14:paraId="52AA27DE" w14:textId="7585A956" w:rsidR="008B1FF1" w:rsidRPr="00276067" w:rsidRDefault="00952FBF" w:rsidP="00276067">
            <w:pPr>
              <w:ind w:left="360"/>
              <w:rPr>
                <w:b/>
                <w:bCs/>
              </w:rPr>
            </w:pPr>
            <w:r w:rsidRPr="00276067">
              <w:rPr>
                <w:b/>
                <w:bCs/>
              </w:rPr>
              <w:t xml:space="preserve">Using samples from previous cohorts </w:t>
            </w:r>
            <w:r w:rsidR="00CB5FC5" w:rsidRPr="00276067">
              <w:rPr>
                <w:b/>
                <w:bCs/>
              </w:rPr>
              <w:t>adds to the overall marking time</w:t>
            </w:r>
            <w:r w:rsidR="00AF5F1E" w:rsidRPr="00276067">
              <w:rPr>
                <w:b/>
                <w:bCs/>
              </w:rPr>
              <w:t xml:space="preserve"> but </w:t>
            </w:r>
            <w:r w:rsidR="007B602A" w:rsidRPr="00276067">
              <w:rPr>
                <w:b/>
                <w:bCs/>
              </w:rPr>
              <w:t xml:space="preserve">the standardisation process </w:t>
            </w:r>
            <w:r w:rsidR="00276067" w:rsidRPr="00276067">
              <w:rPr>
                <w:b/>
                <w:bCs/>
              </w:rPr>
              <w:t>can take place at any time during the semester.</w:t>
            </w:r>
          </w:p>
        </w:tc>
      </w:tr>
      <w:tr w:rsidR="00343354" w14:paraId="300DA5B4" w14:textId="77777777" w:rsidTr="3D9EC4AE">
        <w:tc>
          <w:tcPr>
            <w:tcW w:w="2978" w:type="dxa"/>
            <w:shd w:val="clear" w:color="auto" w:fill="FBE4D5" w:themeFill="accent2" w:themeFillTint="33"/>
          </w:tcPr>
          <w:p w14:paraId="37CD4FCB" w14:textId="34B52E54" w:rsidR="00343354" w:rsidRDefault="17199457">
            <w:r>
              <w:t xml:space="preserve">‘Asynchronous </w:t>
            </w:r>
            <w:r w:rsidR="61DC5728">
              <w:t>online model</w:t>
            </w:r>
            <w:r w:rsidR="72394B48">
              <w:t xml:space="preserve">’ </w:t>
            </w:r>
            <w:r w:rsidR="7D811241">
              <w:t>– some assignments are put online (anonymisation is preferable</w:t>
            </w:r>
            <w:r w:rsidR="3C608484">
              <w:t xml:space="preserve">) with a spreadsheet </w:t>
            </w:r>
            <w:r w:rsidR="3C608484">
              <w:lastRenderedPageBreak/>
              <w:t>for markers to add grades – or grades to be sent to the person running the session if you don’t want people to be influenced by other</w:t>
            </w:r>
            <w:r w:rsidR="248DA09F">
              <w:t>s’ grades.</w:t>
            </w:r>
            <w:r w:rsidR="494ED42E">
              <w:t xml:space="preserve"> Grades can be compared amongst the team by the Course Director or Module Lead.</w:t>
            </w:r>
          </w:p>
          <w:p w14:paraId="3C12337B" w14:textId="77777777" w:rsidR="00297D6A" w:rsidRDefault="00297D6A"/>
          <w:p w14:paraId="74E898DC" w14:textId="4BF6100A" w:rsidR="00297D6A" w:rsidRDefault="003D1F31">
            <w:r>
              <w:t xml:space="preserve">For markers who are far out from the desired mark </w:t>
            </w:r>
            <w:r w:rsidR="001B403F">
              <w:t xml:space="preserve">there is the possibility 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BE2EDE9" w14:textId="77777777" w:rsidR="00343354" w:rsidRDefault="007E3702">
            <w:r>
              <w:lastRenderedPageBreak/>
              <w:t xml:space="preserve">Saves time as not all staff need to be in one place at a pre-arranged time. </w:t>
            </w:r>
          </w:p>
          <w:p w14:paraId="266890C2" w14:textId="77777777" w:rsidR="00431161" w:rsidRDefault="00431161"/>
          <w:p w14:paraId="1A3D31B3" w14:textId="4481473C" w:rsidR="00431161" w:rsidRDefault="00431161">
            <w:r>
              <w:lastRenderedPageBreak/>
              <w:t>Reduces social norming where less experienced markers are dominated by more experienced/outspoken markers.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B35A69C" w14:textId="09C59553" w:rsidR="00343354" w:rsidRDefault="3262B8C8">
            <w:r>
              <w:lastRenderedPageBreak/>
              <w:t xml:space="preserve">Can single out ‘rogue’ markers who can feel their abilities are being questioned. It is vital to establish </w:t>
            </w:r>
            <w:r>
              <w:lastRenderedPageBreak/>
              <w:t>trust</w:t>
            </w:r>
            <w:r w:rsidR="5D2CC114">
              <w:t xml:space="preserve"> where no one is seen as being out of kilter.</w:t>
            </w:r>
          </w:p>
          <w:p w14:paraId="36150EFE" w14:textId="77777777" w:rsidR="00D14E93" w:rsidRDefault="00D14E93"/>
          <w:p w14:paraId="38A86A95" w14:textId="147B4104" w:rsidR="00D14E93" w:rsidRDefault="479EC5C4">
            <w:r>
              <w:t xml:space="preserve">Less supportive for new and </w:t>
            </w:r>
            <w:proofErr w:type="gramStart"/>
            <w:r w:rsidR="7A2469FA">
              <w:t>short term</w:t>
            </w:r>
            <w:proofErr w:type="gramEnd"/>
            <w:r w:rsidR="7A2469FA">
              <w:t xml:space="preserve"> staff</w:t>
            </w:r>
            <w:r>
              <w:t>.</w:t>
            </w:r>
          </w:p>
        </w:tc>
      </w:tr>
      <w:tr w:rsidR="00940E3C" w14:paraId="5ADB53BB" w14:textId="77777777" w:rsidTr="3D9EC4AE">
        <w:tc>
          <w:tcPr>
            <w:tcW w:w="2978" w:type="dxa"/>
            <w:shd w:val="clear" w:color="auto" w:fill="FBE4D5" w:themeFill="accent2" w:themeFillTint="33"/>
          </w:tcPr>
          <w:p w14:paraId="0DA89F7D" w14:textId="2EBB711A" w:rsidR="00940E3C" w:rsidRDefault="479EC5C4">
            <w:r>
              <w:lastRenderedPageBreak/>
              <w:t xml:space="preserve">‘Standardisation committee’ model – a group of </w:t>
            </w:r>
            <w:r w:rsidR="0322DC28">
              <w:t>experienced</w:t>
            </w:r>
            <w:r w:rsidR="36AF3A77">
              <w:t xml:space="preserve"> </w:t>
            </w:r>
            <w:r w:rsidR="0322DC28">
              <w:t>tutors</w:t>
            </w:r>
            <w:r w:rsidR="36AF3A77">
              <w:t xml:space="preserve"> mark some assignments and put them online as examples of </w:t>
            </w:r>
            <w:r w:rsidR="43ECF1E8">
              <w:t>marks</w:t>
            </w:r>
            <w:r w:rsidR="36AF3A77">
              <w:t xml:space="preserve"> at different levels</w:t>
            </w:r>
            <w:r w:rsidR="2D91205D">
              <w:t>. Markers follow the guidelines. It is best to do this with previous cohort</w:t>
            </w:r>
            <w:r w:rsidR="256D907B">
              <w:t>s’ assessments to save time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D1CA1F2" w14:textId="77777777" w:rsidR="00B72D05" w:rsidRDefault="00B72D05" w:rsidP="00B72D05">
            <w:r>
              <w:t xml:space="preserve">Saves time as not all staff need to be in one place at a pre-arranged time. </w:t>
            </w:r>
          </w:p>
          <w:p w14:paraId="38B7159C" w14:textId="77777777" w:rsidR="00940E3C" w:rsidRDefault="00940E3C"/>
          <w:p w14:paraId="18FB39AE" w14:textId="730E278B" w:rsidR="00B72D05" w:rsidRDefault="00B72D05">
            <w:r>
              <w:t xml:space="preserve">If using previous cohorts’ work as </w:t>
            </w:r>
            <w:r w:rsidR="00840A64">
              <w:t>exemplars,</w:t>
            </w:r>
            <w:r>
              <w:t xml:space="preserve"> then standardisation can take place at any point in the academic year </w:t>
            </w:r>
            <w:r w:rsidR="00303D0C">
              <w:t xml:space="preserve">and allow for questions to be asked by new staff as needed.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D709B37" w14:textId="77777777" w:rsidR="00940E3C" w:rsidRDefault="00303D0C">
            <w:r>
              <w:t xml:space="preserve">Does not ensure that standards have been </w:t>
            </w:r>
            <w:r w:rsidR="00643A61">
              <w:t>internalised or understood unless followed up with a whole group session or individual feedback.</w:t>
            </w:r>
          </w:p>
          <w:p w14:paraId="3B1AB54D" w14:textId="77777777" w:rsidR="00643A61" w:rsidRDefault="00643A61"/>
          <w:p w14:paraId="41F05E64" w14:textId="77777777" w:rsidR="00643A61" w:rsidRDefault="00643A61">
            <w:r>
              <w:t>Less supportive for new staff/ GTAs</w:t>
            </w:r>
          </w:p>
          <w:p w14:paraId="753036FA" w14:textId="77777777" w:rsidR="00643A61" w:rsidRDefault="00643A61"/>
          <w:p w14:paraId="78E095AF" w14:textId="7A6B32A6" w:rsidR="00643A61" w:rsidRDefault="00643A61">
            <w:r>
              <w:t xml:space="preserve">Does not allow for </w:t>
            </w:r>
            <w:r w:rsidR="00AE0CA8">
              <w:t xml:space="preserve">discussion around standards and harmonisation within the team needed for maintaining consensus around marking rubrics and disciplinary conventions. </w:t>
            </w:r>
          </w:p>
        </w:tc>
      </w:tr>
    </w:tbl>
    <w:p w14:paraId="56D9EDCD" w14:textId="19401D4A" w:rsidR="00992BEC" w:rsidRPr="00CF31D8" w:rsidRDefault="00CF31D8">
      <w:pPr>
        <w:rPr>
          <w:sz w:val="18"/>
          <w:szCs w:val="18"/>
        </w:rPr>
      </w:pPr>
      <w:r w:rsidRPr="00CF31D8">
        <w:rPr>
          <w:sz w:val="18"/>
          <w:szCs w:val="18"/>
        </w:rPr>
        <w:t>Adapted from Assessment for Learning at Kings (2018)</w:t>
      </w:r>
    </w:p>
    <w:p w14:paraId="7D47BB63" w14:textId="392AE376" w:rsidR="00780ABE" w:rsidRDefault="00650CDC">
      <w:pPr>
        <w:rPr>
          <w:b/>
          <w:bCs/>
        </w:rPr>
      </w:pPr>
      <w:bookmarkStart w:id="2" w:name="_Hlk91024265"/>
      <w:r w:rsidRPr="3D9EC4AE">
        <w:rPr>
          <w:b/>
          <w:bCs/>
        </w:rPr>
        <w:t xml:space="preserve">Should I run sessions </w:t>
      </w:r>
      <w:r w:rsidR="73BDD396" w:rsidRPr="3D9EC4AE">
        <w:rPr>
          <w:b/>
          <w:bCs/>
        </w:rPr>
        <w:t>synchronously or asynchronously</w:t>
      </w:r>
      <w:r w:rsidR="00780ABE" w:rsidRPr="3D9EC4AE">
        <w:rPr>
          <w:b/>
          <w:bCs/>
        </w:rPr>
        <w:t>?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0563EB" w14:paraId="465719CD" w14:textId="77777777" w:rsidTr="3D9EC4AE">
        <w:tc>
          <w:tcPr>
            <w:tcW w:w="10207" w:type="dxa"/>
            <w:gridSpan w:val="3"/>
          </w:tcPr>
          <w:bookmarkEnd w:id="2"/>
          <w:p w14:paraId="4290C15E" w14:textId="2E72A124" w:rsidR="000563EB" w:rsidRDefault="00C835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Advantages and disadvantages of </w:t>
            </w:r>
            <w:r w:rsidR="003B3C04">
              <w:rPr>
                <w:b/>
                <w:bCs/>
              </w:rPr>
              <w:t>training modes</w:t>
            </w:r>
          </w:p>
        </w:tc>
      </w:tr>
      <w:tr w:rsidR="002D5485" w14:paraId="72F11359" w14:textId="77777777" w:rsidTr="3D9EC4AE">
        <w:tc>
          <w:tcPr>
            <w:tcW w:w="1560" w:type="dxa"/>
          </w:tcPr>
          <w:p w14:paraId="34076562" w14:textId="77777777" w:rsidR="002D5485" w:rsidRDefault="002D5485" w:rsidP="00E54B77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14:paraId="1AC926BD" w14:textId="24837A89" w:rsidR="002D5485" w:rsidRDefault="002D5485">
            <w:pPr>
              <w:rPr>
                <w:b/>
                <w:bCs/>
              </w:rPr>
            </w:pPr>
            <w:r>
              <w:rPr>
                <w:b/>
                <w:bCs/>
              </w:rPr>
              <w:t>Advantages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1DFD4BD" w14:textId="0728C8E7" w:rsidR="002D5485" w:rsidRDefault="002D5485">
            <w:pPr>
              <w:rPr>
                <w:b/>
                <w:bCs/>
              </w:rPr>
            </w:pPr>
            <w:r>
              <w:rPr>
                <w:b/>
                <w:bCs/>
              </w:rPr>
              <w:t>Disadvantages</w:t>
            </w:r>
          </w:p>
        </w:tc>
      </w:tr>
      <w:tr w:rsidR="0086509E" w14:paraId="2D9F8E8D" w14:textId="77777777" w:rsidTr="3D9EC4AE">
        <w:trPr>
          <w:trHeight w:val="4110"/>
        </w:trPr>
        <w:tc>
          <w:tcPr>
            <w:tcW w:w="1560" w:type="dxa"/>
          </w:tcPr>
          <w:p w14:paraId="2580427B" w14:textId="45A2DCA1" w:rsidR="0086509E" w:rsidRDefault="0086509E" w:rsidP="00E54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Asynchronous online</w:t>
            </w:r>
            <w:r w:rsidR="00A8480E">
              <w:rPr>
                <w:b/>
                <w:bCs/>
              </w:rPr>
              <w:t xml:space="preserve"> session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5D65ABD" w14:textId="7CC61E95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</w:pPr>
            <w:r>
              <w:t>Can be more m</w:t>
            </w:r>
            <w:r w:rsidRPr="00B41F10">
              <w:t>otivating</w:t>
            </w:r>
            <w:r>
              <w:t xml:space="preserve"> because marker can work at own pace and take time to read scripts/come to conclusions</w:t>
            </w:r>
          </w:p>
          <w:p w14:paraId="0B63CAA6" w14:textId="77777777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</w:pPr>
            <w:r w:rsidRPr="00B41F10">
              <w:t>Can be done in marker’s own time/choice of environment</w:t>
            </w:r>
          </w:p>
          <w:p w14:paraId="0E61E872" w14:textId="77777777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</w:pPr>
            <w:r w:rsidRPr="00B41F10">
              <w:t>Marker can take breaks as needed</w:t>
            </w:r>
          </w:p>
          <w:p w14:paraId="5D1F2259" w14:textId="77777777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</w:pPr>
            <w:r w:rsidRPr="00B41F10">
              <w:t>No interruption by dominant/confident colleagues – easier for shyer people</w:t>
            </w:r>
          </w:p>
          <w:p w14:paraId="0E758E5F" w14:textId="77777777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</w:pPr>
            <w:r w:rsidRPr="00B41F10">
              <w:t>Immediate feedback can be provided</w:t>
            </w:r>
          </w:p>
          <w:p w14:paraId="448339FB" w14:textId="4EE3846A" w:rsidR="0086509E" w:rsidRPr="00B41F10" w:rsidRDefault="0086509E" w:rsidP="00B41F1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B41F10">
              <w:t>Objective because influence of other markers can be avoided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0886EE9" w14:textId="77777777" w:rsidR="0086509E" w:rsidRPr="005C0A08" w:rsidRDefault="0086509E" w:rsidP="00B90204">
            <w:pPr>
              <w:pStyle w:val="ListParagraph"/>
              <w:numPr>
                <w:ilvl w:val="0"/>
                <w:numId w:val="1"/>
              </w:numPr>
            </w:pPr>
            <w:r w:rsidRPr="005C0A08">
              <w:t>Tiring</w:t>
            </w:r>
          </w:p>
          <w:p w14:paraId="7AB82B49" w14:textId="77777777" w:rsidR="0086509E" w:rsidRPr="00B90204" w:rsidRDefault="0086509E" w:rsidP="00B902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C0A08">
              <w:t>Impersonal, no one to share ideas or compare ratings with</w:t>
            </w:r>
          </w:p>
          <w:p w14:paraId="79542F17" w14:textId="5440830B" w:rsidR="00B90204" w:rsidRPr="00B90204" w:rsidRDefault="00B90204" w:rsidP="00B902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Adds to screen time/strain on eyes</w:t>
            </w:r>
          </w:p>
        </w:tc>
      </w:tr>
      <w:tr w:rsidR="002D5485" w14:paraId="34F4985A" w14:textId="77777777" w:rsidTr="3D9EC4AE">
        <w:tc>
          <w:tcPr>
            <w:tcW w:w="1560" w:type="dxa"/>
          </w:tcPr>
          <w:p w14:paraId="0800EF8E" w14:textId="33C6BCB9" w:rsidR="002D5485" w:rsidRDefault="0086509E">
            <w:pPr>
              <w:rPr>
                <w:b/>
                <w:bCs/>
              </w:rPr>
            </w:pPr>
            <w:r>
              <w:rPr>
                <w:b/>
                <w:bCs/>
              </w:rPr>
              <w:t>Synchronous session (online or face to face)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93D534" w14:textId="77777777" w:rsidR="002D5485" w:rsidRPr="00B90204" w:rsidRDefault="00B54DA4" w:rsidP="00B90204">
            <w:pPr>
              <w:pStyle w:val="ListParagraph"/>
              <w:numPr>
                <w:ilvl w:val="0"/>
                <w:numId w:val="2"/>
              </w:numPr>
            </w:pPr>
            <w:r w:rsidRPr="00B90204">
              <w:t>Interaction with other markers, opportunity to discuss or ask questions</w:t>
            </w:r>
          </w:p>
          <w:p w14:paraId="2E0D4C75" w14:textId="77777777" w:rsidR="00B90204" w:rsidRPr="00B90204" w:rsidRDefault="00B90204" w:rsidP="00B90204">
            <w:pPr>
              <w:pStyle w:val="ListParagraph"/>
              <w:numPr>
                <w:ilvl w:val="0"/>
                <w:numId w:val="2"/>
              </w:numPr>
            </w:pPr>
            <w:r w:rsidRPr="00B90204">
              <w:t>Easier to compare between scripts</w:t>
            </w:r>
          </w:p>
          <w:p w14:paraId="26F2C11A" w14:textId="69AB689F" w:rsidR="00B90204" w:rsidRPr="00B90204" w:rsidRDefault="00B90204" w:rsidP="00B90204">
            <w:pPr>
              <w:pStyle w:val="ListParagraph"/>
              <w:numPr>
                <w:ilvl w:val="0"/>
                <w:numId w:val="2"/>
              </w:numPr>
            </w:pPr>
            <w:r w:rsidRPr="00B90204">
              <w:lastRenderedPageBreak/>
              <w:t>More sociable and interactive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22C1FD09" w14:textId="1EDD17D6" w:rsidR="00BC645D" w:rsidRPr="00D47C20" w:rsidRDefault="00BC645D" w:rsidP="00D47C20">
            <w:pPr>
              <w:pStyle w:val="ListParagraph"/>
              <w:numPr>
                <w:ilvl w:val="0"/>
                <w:numId w:val="1"/>
              </w:numPr>
            </w:pPr>
            <w:r w:rsidRPr="00D47C20">
              <w:lastRenderedPageBreak/>
              <w:t>Markers may be influenced by others and change scores</w:t>
            </w:r>
            <w:r w:rsidR="00D47C20" w:rsidRPr="00D47C20">
              <w:t>/lack confidence in own judgement</w:t>
            </w:r>
          </w:p>
          <w:p w14:paraId="30BFE142" w14:textId="7B5FBC26" w:rsidR="002D5485" w:rsidRPr="00D47C20" w:rsidRDefault="00E5680F" w:rsidP="00D47C20">
            <w:pPr>
              <w:pStyle w:val="ListParagraph"/>
              <w:numPr>
                <w:ilvl w:val="0"/>
                <w:numId w:val="1"/>
              </w:numPr>
            </w:pPr>
            <w:r w:rsidRPr="00D47C20">
              <w:lastRenderedPageBreak/>
              <w:t>Inconvenient in terms of finding time when everyone is a</w:t>
            </w:r>
            <w:r w:rsidR="00BC645D" w:rsidRPr="00D47C20">
              <w:t>vailable</w:t>
            </w:r>
          </w:p>
          <w:p w14:paraId="49E6C3DC" w14:textId="1F1D01CD" w:rsidR="00BC645D" w:rsidRPr="00D47C20" w:rsidRDefault="5826FF25" w:rsidP="00A8480E">
            <w:pPr>
              <w:pStyle w:val="ListParagraph"/>
              <w:numPr>
                <w:ilvl w:val="0"/>
                <w:numId w:val="1"/>
              </w:numPr>
            </w:pPr>
            <w:r>
              <w:t>Room needs booking</w:t>
            </w:r>
            <w:r w:rsidR="1002D191">
              <w:t xml:space="preserve"> for </w:t>
            </w:r>
            <w:proofErr w:type="gramStart"/>
            <w:r w:rsidR="2994ACD4">
              <w:t>face to face</w:t>
            </w:r>
            <w:proofErr w:type="gramEnd"/>
            <w:r w:rsidR="2994ACD4">
              <w:t xml:space="preserve"> sessions</w:t>
            </w:r>
            <w:r w:rsidR="368A15AF">
              <w:t xml:space="preserve"> unless done on MS Teams.</w:t>
            </w:r>
          </w:p>
        </w:tc>
      </w:tr>
    </w:tbl>
    <w:p w14:paraId="13DBAD2B" w14:textId="6E893E83" w:rsidR="004324DE" w:rsidRPr="006C6D71" w:rsidRDefault="00A8480E">
      <w:pPr>
        <w:rPr>
          <w:sz w:val="20"/>
          <w:szCs w:val="20"/>
        </w:rPr>
      </w:pPr>
      <w:r w:rsidRPr="006C6D71">
        <w:rPr>
          <w:sz w:val="20"/>
          <w:szCs w:val="20"/>
        </w:rPr>
        <w:lastRenderedPageBreak/>
        <w:t xml:space="preserve">Adapted from </w:t>
      </w:r>
      <w:proofErr w:type="spellStart"/>
      <w:r w:rsidRPr="006C6D71">
        <w:rPr>
          <w:sz w:val="20"/>
          <w:szCs w:val="20"/>
        </w:rPr>
        <w:t>Knoch</w:t>
      </w:r>
      <w:proofErr w:type="spellEnd"/>
      <w:r w:rsidRPr="006C6D71">
        <w:rPr>
          <w:sz w:val="20"/>
          <w:szCs w:val="20"/>
        </w:rPr>
        <w:t xml:space="preserve">, Read and </w:t>
      </w:r>
      <w:proofErr w:type="spellStart"/>
      <w:r w:rsidRPr="006C6D71">
        <w:rPr>
          <w:sz w:val="20"/>
          <w:szCs w:val="20"/>
        </w:rPr>
        <w:t>Randow</w:t>
      </w:r>
      <w:proofErr w:type="spellEnd"/>
      <w:r w:rsidRPr="006C6D71">
        <w:rPr>
          <w:sz w:val="20"/>
          <w:szCs w:val="20"/>
        </w:rPr>
        <w:t xml:space="preserve"> (2007, p.42)</w:t>
      </w:r>
    </w:p>
    <w:p w14:paraId="58BF4377" w14:textId="77777777" w:rsidR="006F4C4C" w:rsidRDefault="006F4C4C">
      <w:pPr>
        <w:rPr>
          <w:b/>
          <w:bCs/>
        </w:rPr>
      </w:pPr>
      <w:r>
        <w:rPr>
          <w:b/>
          <w:bCs/>
        </w:rPr>
        <w:br w:type="page"/>
      </w:r>
    </w:p>
    <w:p w14:paraId="78F8D125" w14:textId="60EB41D0" w:rsidR="006F4C4C" w:rsidRDefault="006F4C4C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3EB2C289" w14:textId="67629C14" w:rsidR="009B7E41" w:rsidRDefault="009B7E41">
      <w:r>
        <w:t>Assessment for Learning at Kings</w:t>
      </w:r>
      <w:r w:rsidR="00585BF6">
        <w:t xml:space="preserve"> (2018)</w:t>
      </w:r>
      <w:r w:rsidR="00C15EA8">
        <w:t xml:space="preserve">: </w:t>
      </w:r>
      <w:hyperlink r:id="rId12" w:history="1">
        <w:r w:rsidR="00C15EA8" w:rsidRPr="00C15EA8">
          <w:rPr>
            <w:color w:val="0000FF"/>
            <w:u w:val="single"/>
          </w:rPr>
          <w:t>Standardisation-FINAL.pdf (kcl.ac.uk)</w:t>
        </w:r>
      </w:hyperlink>
    </w:p>
    <w:p w14:paraId="3763CE1E" w14:textId="32FC294A" w:rsidR="00144950" w:rsidRDefault="00144950">
      <w:pPr>
        <w:rPr>
          <w:rStyle w:val="Hyperlink"/>
        </w:rPr>
      </w:pPr>
      <w:proofErr w:type="spellStart"/>
      <w:r>
        <w:t>Beautel</w:t>
      </w:r>
      <w:proofErr w:type="spellEnd"/>
      <w:r>
        <w:t xml:space="preserve">, </w:t>
      </w:r>
      <w:r w:rsidR="007874E1">
        <w:t xml:space="preserve">D., Adie, </w:t>
      </w:r>
      <w:proofErr w:type="gramStart"/>
      <w:r w:rsidR="007874E1">
        <w:t>L,.</w:t>
      </w:r>
      <w:proofErr w:type="gramEnd"/>
      <w:r w:rsidR="007874E1">
        <w:t xml:space="preserve"> &amp; Lloyd, M. (2017) </w:t>
      </w:r>
      <w:hyperlink r:id="rId13" w:history="1">
        <w:r w:rsidR="007D5084">
          <w:rPr>
            <w:rStyle w:val="Hyperlink"/>
          </w:rPr>
          <w:t>Assessment moderation in an Australian context: processes, practices, and challenges (tandfonline.com)</w:t>
        </w:r>
      </w:hyperlink>
    </w:p>
    <w:p w14:paraId="0EC8CF0E" w14:textId="494CA6E4" w:rsidR="00585BF6" w:rsidRDefault="00585BF6">
      <w:r w:rsidRPr="00585BF6">
        <w:rPr>
          <w:rStyle w:val="Hyperlink"/>
          <w:color w:val="auto"/>
          <w:u w:val="none"/>
        </w:rPr>
        <w:t xml:space="preserve">Gardener, J. &amp; Evans, C. (2018) </w:t>
      </w:r>
      <w:hyperlink r:id="rId14" w:history="1">
        <w:r w:rsidRPr="00585BF6">
          <w:rPr>
            <w:color w:val="0000FF"/>
            <w:u w:val="single"/>
          </w:rPr>
          <w:t>What universities might learn from professional associations in marking large undergraduate modules | Emerald Insight</w:t>
        </w:r>
      </w:hyperlink>
    </w:p>
    <w:p w14:paraId="1CAB50F2" w14:textId="2119F1AB" w:rsidR="003C508A" w:rsidRPr="00585BF6" w:rsidRDefault="003C508A">
      <w:proofErr w:type="spellStart"/>
      <w:r>
        <w:t>Greatorex</w:t>
      </w:r>
      <w:proofErr w:type="spellEnd"/>
      <w:r>
        <w:t xml:space="preserve">, J., </w:t>
      </w:r>
      <w:proofErr w:type="spellStart"/>
      <w:r>
        <w:t>Sutch</w:t>
      </w:r>
      <w:proofErr w:type="spellEnd"/>
      <w:r>
        <w:t xml:space="preserve">, T., </w:t>
      </w:r>
      <w:proofErr w:type="spellStart"/>
      <w:r>
        <w:t>Werno</w:t>
      </w:r>
      <w:proofErr w:type="spellEnd"/>
      <w:r>
        <w:t xml:space="preserve">, </w:t>
      </w:r>
      <w:proofErr w:type="spellStart"/>
      <w:r>
        <w:t>M.,Bowyer</w:t>
      </w:r>
      <w:proofErr w:type="spellEnd"/>
      <w:r>
        <w:t xml:space="preserve">, J., &amp; Dunn, K. (2019) </w:t>
      </w:r>
      <w:hyperlink r:id="rId15" w:history="1">
        <w:r w:rsidRPr="003C508A">
          <w:rPr>
            <w:color w:val="0000FF"/>
            <w:u w:val="single"/>
          </w:rPr>
          <w:t>(PDF) Investigating a new method for standardising essay marking using levels-based mark schemes (researchgate.net)</w:t>
        </w:r>
      </w:hyperlink>
    </w:p>
    <w:p w14:paraId="451E8013" w14:textId="4E19306E" w:rsidR="00782737" w:rsidRDefault="00782737">
      <w:proofErr w:type="spellStart"/>
      <w:r>
        <w:t>Knoch</w:t>
      </w:r>
      <w:proofErr w:type="spellEnd"/>
      <w:r>
        <w:t>,</w:t>
      </w:r>
      <w:r w:rsidR="00904BCA">
        <w:t xml:space="preserve"> U.,</w:t>
      </w:r>
      <w:r>
        <w:t xml:space="preserve"> Read</w:t>
      </w:r>
      <w:r w:rsidR="00904BCA">
        <w:t xml:space="preserve">, J. </w:t>
      </w:r>
      <w:r>
        <w:t xml:space="preserve"> &amp; </w:t>
      </w:r>
      <w:proofErr w:type="gramStart"/>
      <w:r w:rsidR="00904BCA">
        <w:t>v</w:t>
      </w:r>
      <w:r>
        <w:t>on</w:t>
      </w:r>
      <w:proofErr w:type="gramEnd"/>
      <w:r w:rsidR="00F812CD">
        <w:t xml:space="preserve"> </w:t>
      </w:r>
      <w:proofErr w:type="spellStart"/>
      <w:r w:rsidR="00F812CD">
        <w:t>Randow</w:t>
      </w:r>
      <w:proofErr w:type="spellEnd"/>
      <w:r w:rsidR="00904BCA">
        <w:t>, J.</w:t>
      </w:r>
      <w:r w:rsidR="00F812CD">
        <w:t xml:space="preserve"> (2007) </w:t>
      </w:r>
      <w:r w:rsidR="00904BCA">
        <w:t xml:space="preserve">Re-training writing </w:t>
      </w:r>
      <w:proofErr w:type="spellStart"/>
      <w:r w:rsidR="00904BCA">
        <w:t>raters</w:t>
      </w:r>
      <w:proofErr w:type="spellEnd"/>
      <w:r w:rsidR="00904BCA">
        <w:t xml:space="preserve"> online: how does it compare with face-to-face training? Assessing Writing, 12(1), 26-43.</w:t>
      </w:r>
    </w:p>
    <w:p w14:paraId="3C48B67C" w14:textId="1643E114" w:rsidR="009F7CE3" w:rsidRDefault="009F7CE3">
      <w:pPr>
        <w:rPr>
          <w:b/>
          <w:bCs/>
        </w:rPr>
      </w:pPr>
      <w:r w:rsidRPr="009F7CE3">
        <w:t>Ofqual (2014)</w:t>
      </w:r>
      <w:r>
        <w:rPr>
          <w:b/>
          <w:bCs/>
        </w:rPr>
        <w:t xml:space="preserve"> </w:t>
      </w:r>
      <w:hyperlink r:id="rId16" w:history="1">
        <w:r>
          <w:rPr>
            <w:rStyle w:val="Hyperlink"/>
          </w:rPr>
          <w:t>Standardisation methods, mark schemes, and their impact on marking reliability (publishing.service.gov.uk)</w:t>
        </w:r>
      </w:hyperlink>
    </w:p>
    <w:p w14:paraId="6897F476" w14:textId="50D31F57" w:rsidR="006F4C4C" w:rsidRPr="009B7E41" w:rsidRDefault="009B7E41">
      <w:r w:rsidRPr="009B7E41">
        <w:t xml:space="preserve">Quality Assurance Agency (QAA) (2018). UK Quality Code for Higher Education </w:t>
      </w:r>
      <w:hyperlink r:id="rId17" w:history="1">
        <w:r w:rsidRPr="009B7E41">
          <w:rPr>
            <w:color w:val="0000FF"/>
            <w:u w:val="single"/>
          </w:rPr>
          <w:t>advice-and-guidance-assessment.pdf</w:t>
        </w:r>
      </w:hyperlink>
    </w:p>
    <w:sectPr w:rsidR="006F4C4C" w:rsidRPr="009B7E41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B200" w14:textId="77777777" w:rsidR="00346D8C" w:rsidRDefault="00346D8C" w:rsidP="00B57D04">
      <w:pPr>
        <w:spacing w:after="0" w:line="240" w:lineRule="auto"/>
      </w:pPr>
      <w:r>
        <w:separator/>
      </w:r>
    </w:p>
  </w:endnote>
  <w:endnote w:type="continuationSeparator" w:id="0">
    <w:p w14:paraId="744EEB53" w14:textId="77777777" w:rsidR="00346D8C" w:rsidRDefault="00346D8C" w:rsidP="00B57D04">
      <w:pPr>
        <w:spacing w:after="0" w:line="240" w:lineRule="auto"/>
      </w:pPr>
      <w:r>
        <w:continuationSeparator/>
      </w:r>
    </w:p>
  </w:endnote>
  <w:endnote w:type="continuationNotice" w:id="1">
    <w:p w14:paraId="2093B417" w14:textId="77777777" w:rsidR="006F7192" w:rsidRDefault="006F7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233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BB555" w14:textId="071243DC" w:rsidR="00B57D04" w:rsidRDefault="00B5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94A96" w14:textId="77777777" w:rsidR="00B57D04" w:rsidRDefault="00B57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2058" w14:textId="77777777" w:rsidR="00346D8C" w:rsidRDefault="00346D8C" w:rsidP="00B57D04">
      <w:pPr>
        <w:spacing w:after="0" w:line="240" w:lineRule="auto"/>
      </w:pPr>
      <w:r>
        <w:separator/>
      </w:r>
    </w:p>
  </w:footnote>
  <w:footnote w:type="continuationSeparator" w:id="0">
    <w:p w14:paraId="4C8D6FE7" w14:textId="77777777" w:rsidR="00346D8C" w:rsidRDefault="00346D8C" w:rsidP="00B57D04">
      <w:pPr>
        <w:spacing w:after="0" w:line="240" w:lineRule="auto"/>
      </w:pPr>
      <w:r>
        <w:continuationSeparator/>
      </w:r>
    </w:p>
  </w:footnote>
  <w:footnote w:type="continuationNotice" w:id="1">
    <w:p w14:paraId="5E19E5C2" w14:textId="77777777" w:rsidR="006F7192" w:rsidRDefault="006F719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mIB415g" int2:invalidationBookmarkName="" int2:hashCode="JB10w7dpZLAO8U" int2:id="DXwOtAW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733"/>
    <w:multiLevelType w:val="hybridMultilevel"/>
    <w:tmpl w:val="212A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93C"/>
    <w:multiLevelType w:val="hybridMultilevel"/>
    <w:tmpl w:val="CE70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B87"/>
    <w:multiLevelType w:val="hybridMultilevel"/>
    <w:tmpl w:val="E7FA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399B"/>
    <w:multiLevelType w:val="hybridMultilevel"/>
    <w:tmpl w:val="45CE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5E0"/>
    <w:multiLevelType w:val="hybridMultilevel"/>
    <w:tmpl w:val="E08E2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6BAD"/>
    <w:multiLevelType w:val="hybridMultilevel"/>
    <w:tmpl w:val="2D82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4373"/>
    <w:multiLevelType w:val="hybridMultilevel"/>
    <w:tmpl w:val="C88E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14BBB"/>
    <w:multiLevelType w:val="hybridMultilevel"/>
    <w:tmpl w:val="33CC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259D"/>
    <w:multiLevelType w:val="hybridMultilevel"/>
    <w:tmpl w:val="DA70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80710"/>
    <w:multiLevelType w:val="hybridMultilevel"/>
    <w:tmpl w:val="5400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35165"/>
    <w:multiLevelType w:val="hybridMultilevel"/>
    <w:tmpl w:val="A3B2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16"/>
    <w:rsid w:val="00056118"/>
    <w:rsid w:val="000563EB"/>
    <w:rsid w:val="00082C6F"/>
    <w:rsid w:val="000841C8"/>
    <w:rsid w:val="0008772E"/>
    <w:rsid w:val="000C0E73"/>
    <w:rsid w:val="000C7C6A"/>
    <w:rsid w:val="000E0F3C"/>
    <w:rsid w:val="001269C0"/>
    <w:rsid w:val="00144950"/>
    <w:rsid w:val="0014659E"/>
    <w:rsid w:val="00151DC7"/>
    <w:rsid w:val="00167243"/>
    <w:rsid w:val="001729BD"/>
    <w:rsid w:val="001A5E49"/>
    <w:rsid w:val="001B403F"/>
    <w:rsid w:val="001D1417"/>
    <w:rsid w:val="001E1338"/>
    <w:rsid w:val="001E2690"/>
    <w:rsid w:val="00210DD8"/>
    <w:rsid w:val="0023517B"/>
    <w:rsid w:val="00261236"/>
    <w:rsid w:val="00276067"/>
    <w:rsid w:val="002954E9"/>
    <w:rsid w:val="00297D6A"/>
    <w:rsid w:val="002B4FF7"/>
    <w:rsid w:val="002D5485"/>
    <w:rsid w:val="002E510B"/>
    <w:rsid w:val="00303D0C"/>
    <w:rsid w:val="00307395"/>
    <w:rsid w:val="00320AB0"/>
    <w:rsid w:val="00343354"/>
    <w:rsid w:val="00346409"/>
    <w:rsid w:val="00346D8C"/>
    <w:rsid w:val="003726E6"/>
    <w:rsid w:val="00372C43"/>
    <w:rsid w:val="00383AF2"/>
    <w:rsid w:val="003A255A"/>
    <w:rsid w:val="003B37FC"/>
    <w:rsid w:val="003B3C04"/>
    <w:rsid w:val="003C508A"/>
    <w:rsid w:val="003D1F31"/>
    <w:rsid w:val="003E7125"/>
    <w:rsid w:val="00431161"/>
    <w:rsid w:val="004324DE"/>
    <w:rsid w:val="004454B1"/>
    <w:rsid w:val="00450369"/>
    <w:rsid w:val="00470719"/>
    <w:rsid w:val="00473E97"/>
    <w:rsid w:val="0048287B"/>
    <w:rsid w:val="00496250"/>
    <w:rsid w:val="004A18FE"/>
    <w:rsid w:val="004E2C96"/>
    <w:rsid w:val="004F3CF8"/>
    <w:rsid w:val="0051530A"/>
    <w:rsid w:val="00516ACC"/>
    <w:rsid w:val="00546FB3"/>
    <w:rsid w:val="00571050"/>
    <w:rsid w:val="00571CB1"/>
    <w:rsid w:val="00585BF6"/>
    <w:rsid w:val="005B5350"/>
    <w:rsid w:val="005C0A08"/>
    <w:rsid w:val="005C1C2F"/>
    <w:rsid w:val="005E2783"/>
    <w:rsid w:val="005E715B"/>
    <w:rsid w:val="006067C4"/>
    <w:rsid w:val="00627CE3"/>
    <w:rsid w:val="00627DD8"/>
    <w:rsid w:val="00631278"/>
    <w:rsid w:val="00643A61"/>
    <w:rsid w:val="00650CDC"/>
    <w:rsid w:val="00680412"/>
    <w:rsid w:val="0068736D"/>
    <w:rsid w:val="006A1BBC"/>
    <w:rsid w:val="006C6D71"/>
    <w:rsid w:val="006E7ECC"/>
    <w:rsid w:val="006F4C4C"/>
    <w:rsid w:val="006F7192"/>
    <w:rsid w:val="00706D7C"/>
    <w:rsid w:val="00714B55"/>
    <w:rsid w:val="007163F0"/>
    <w:rsid w:val="00716DE1"/>
    <w:rsid w:val="0076244E"/>
    <w:rsid w:val="00772C81"/>
    <w:rsid w:val="00780ABE"/>
    <w:rsid w:val="00782737"/>
    <w:rsid w:val="007874E1"/>
    <w:rsid w:val="00794733"/>
    <w:rsid w:val="0079501D"/>
    <w:rsid w:val="00796931"/>
    <w:rsid w:val="007A0A7E"/>
    <w:rsid w:val="007B602A"/>
    <w:rsid w:val="007B7D9E"/>
    <w:rsid w:val="007C3AF2"/>
    <w:rsid w:val="007C5CF5"/>
    <w:rsid w:val="007D42E8"/>
    <w:rsid w:val="007D5084"/>
    <w:rsid w:val="007E081C"/>
    <w:rsid w:val="007E3702"/>
    <w:rsid w:val="008023D5"/>
    <w:rsid w:val="008216FC"/>
    <w:rsid w:val="00840A64"/>
    <w:rsid w:val="00844989"/>
    <w:rsid w:val="00846E9F"/>
    <w:rsid w:val="00860C8E"/>
    <w:rsid w:val="0086509E"/>
    <w:rsid w:val="00881522"/>
    <w:rsid w:val="008816A3"/>
    <w:rsid w:val="0088349C"/>
    <w:rsid w:val="008900DC"/>
    <w:rsid w:val="00893200"/>
    <w:rsid w:val="008B1FF1"/>
    <w:rsid w:val="008B2A16"/>
    <w:rsid w:val="008F534D"/>
    <w:rsid w:val="00904BCA"/>
    <w:rsid w:val="0092483C"/>
    <w:rsid w:val="00925BAB"/>
    <w:rsid w:val="00940E3C"/>
    <w:rsid w:val="00951DB4"/>
    <w:rsid w:val="00952FBF"/>
    <w:rsid w:val="00954836"/>
    <w:rsid w:val="00957971"/>
    <w:rsid w:val="00982ACE"/>
    <w:rsid w:val="00992BEC"/>
    <w:rsid w:val="009B1B8D"/>
    <w:rsid w:val="009B7E41"/>
    <w:rsid w:val="009D3144"/>
    <w:rsid w:val="009D7097"/>
    <w:rsid w:val="009D7BA6"/>
    <w:rsid w:val="009E326F"/>
    <w:rsid w:val="009F7CE3"/>
    <w:rsid w:val="00A01F9B"/>
    <w:rsid w:val="00A03FF6"/>
    <w:rsid w:val="00A0647E"/>
    <w:rsid w:val="00A32616"/>
    <w:rsid w:val="00A406B1"/>
    <w:rsid w:val="00A4246B"/>
    <w:rsid w:val="00A51180"/>
    <w:rsid w:val="00A8480E"/>
    <w:rsid w:val="00A90DCA"/>
    <w:rsid w:val="00AB4625"/>
    <w:rsid w:val="00AC594D"/>
    <w:rsid w:val="00AD53F5"/>
    <w:rsid w:val="00AE0CA8"/>
    <w:rsid w:val="00AF5F1E"/>
    <w:rsid w:val="00B37D54"/>
    <w:rsid w:val="00B41F10"/>
    <w:rsid w:val="00B54DA4"/>
    <w:rsid w:val="00B57D04"/>
    <w:rsid w:val="00B71A37"/>
    <w:rsid w:val="00B72D05"/>
    <w:rsid w:val="00B90204"/>
    <w:rsid w:val="00B90652"/>
    <w:rsid w:val="00B91DE6"/>
    <w:rsid w:val="00BB34B7"/>
    <w:rsid w:val="00BB3DAF"/>
    <w:rsid w:val="00BB67FE"/>
    <w:rsid w:val="00BC645D"/>
    <w:rsid w:val="00BE64CE"/>
    <w:rsid w:val="00BE6EEC"/>
    <w:rsid w:val="00BF04A3"/>
    <w:rsid w:val="00BF324E"/>
    <w:rsid w:val="00C10A73"/>
    <w:rsid w:val="00C15EA8"/>
    <w:rsid w:val="00C201B1"/>
    <w:rsid w:val="00C27501"/>
    <w:rsid w:val="00C362C2"/>
    <w:rsid w:val="00C36B8A"/>
    <w:rsid w:val="00C45DCA"/>
    <w:rsid w:val="00C77FED"/>
    <w:rsid w:val="00C835BB"/>
    <w:rsid w:val="00CA65C5"/>
    <w:rsid w:val="00CA72F2"/>
    <w:rsid w:val="00CB5FC5"/>
    <w:rsid w:val="00CD185B"/>
    <w:rsid w:val="00CF31D8"/>
    <w:rsid w:val="00D108BF"/>
    <w:rsid w:val="00D14E93"/>
    <w:rsid w:val="00D37819"/>
    <w:rsid w:val="00D47C20"/>
    <w:rsid w:val="00D65A4D"/>
    <w:rsid w:val="00D7292D"/>
    <w:rsid w:val="00D749E2"/>
    <w:rsid w:val="00D83B23"/>
    <w:rsid w:val="00DD36ED"/>
    <w:rsid w:val="00DF3634"/>
    <w:rsid w:val="00E32072"/>
    <w:rsid w:val="00E41255"/>
    <w:rsid w:val="00E51D58"/>
    <w:rsid w:val="00E54B77"/>
    <w:rsid w:val="00E5680F"/>
    <w:rsid w:val="00E65C10"/>
    <w:rsid w:val="00E80C8B"/>
    <w:rsid w:val="00E822DC"/>
    <w:rsid w:val="00E92593"/>
    <w:rsid w:val="00E949FC"/>
    <w:rsid w:val="00EA2F61"/>
    <w:rsid w:val="00EA5E82"/>
    <w:rsid w:val="00ED66BA"/>
    <w:rsid w:val="00F64100"/>
    <w:rsid w:val="00F801E1"/>
    <w:rsid w:val="00F812CD"/>
    <w:rsid w:val="00FA31BF"/>
    <w:rsid w:val="00FA65AF"/>
    <w:rsid w:val="00FA75BC"/>
    <w:rsid w:val="00FB34F9"/>
    <w:rsid w:val="00FD4150"/>
    <w:rsid w:val="00FE34BD"/>
    <w:rsid w:val="0322DC28"/>
    <w:rsid w:val="1002D191"/>
    <w:rsid w:val="104BF5E6"/>
    <w:rsid w:val="12E912B8"/>
    <w:rsid w:val="166E613D"/>
    <w:rsid w:val="17199457"/>
    <w:rsid w:val="1B484B3A"/>
    <w:rsid w:val="1C63773C"/>
    <w:rsid w:val="1FFC1B26"/>
    <w:rsid w:val="234543DC"/>
    <w:rsid w:val="248DA09F"/>
    <w:rsid w:val="2546D8AE"/>
    <w:rsid w:val="256D907B"/>
    <w:rsid w:val="2994ACD4"/>
    <w:rsid w:val="29DE78F4"/>
    <w:rsid w:val="2D91205D"/>
    <w:rsid w:val="2EC0AF68"/>
    <w:rsid w:val="2F1C83BF"/>
    <w:rsid w:val="31656C0A"/>
    <w:rsid w:val="3262B8C8"/>
    <w:rsid w:val="33EFF4E2"/>
    <w:rsid w:val="368A15AF"/>
    <w:rsid w:val="36AF3A77"/>
    <w:rsid w:val="3C608484"/>
    <w:rsid w:val="3D3C37FE"/>
    <w:rsid w:val="3D9EC4AE"/>
    <w:rsid w:val="3F3A950F"/>
    <w:rsid w:val="427235D1"/>
    <w:rsid w:val="43ECF1E8"/>
    <w:rsid w:val="451249D2"/>
    <w:rsid w:val="45A9D693"/>
    <w:rsid w:val="47519E9C"/>
    <w:rsid w:val="479EC5C4"/>
    <w:rsid w:val="494ED42E"/>
    <w:rsid w:val="4EBABDAE"/>
    <w:rsid w:val="50A6264B"/>
    <w:rsid w:val="531DB786"/>
    <w:rsid w:val="5826FF25"/>
    <w:rsid w:val="5CA30B38"/>
    <w:rsid w:val="5D2CC114"/>
    <w:rsid w:val="5DBE35C7"/>
    <w:rsid w:val="5FF6B676"/>
    <w:rsid w:val="60417739"/>
    <w:rsid w:val="61DC5728"/>
    <w:rsid w:val="6309A19C"/>
    <w:rsid w:val="6501205A"/>
    <w:rsid w:val="72394B48"/>
    <w:rsid w:val="73BDD396"/>
    <w:rsid w:val="7A2469FA"/>
    <w:rsid w:val="7D8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25A9"/>
  <w15:chartTrackingRefBased/>
  <w15:docId w15:val="{4FF01DCD-B58A-42D0-9E9D-CF2E0871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B8A"/>
    <w:rPr>
      <w:color w:val="0000FF"/>
      <w:u w:val="single"/>
    </w:rPr>
  </w:style>
  <w:style w:type="table" w:styleId="TableGrid">
    <w:name w:val="Table Grid"/>
    <w:basedOn w:val="TableNormal"/>
    <w:uiPriority w:val="39"/>
    <w:rsid w:val="002D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04"/>
  </w:style>
  <w:style w:type="paragraph" w:styleId="Footer">
    <w:name w:val="footer"/>
    <w:basedOn w:val="Normal"/>
    <w:link w:val="FooterChar"/>
    <w:uiPriority w:val="99"/>
    <w:unhideWhenUsed/>
    <w:rsid w:val="00B5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04"/>
  </w:style>
  <w:style w:type="character" w:styleId="CommentReference">
    <w:name w:val="annotation reference"/>
    <w:basedOn w:val="DefaultParagraphFont"/>
    <w:uiPriority w:val="99"/>
    <w:semiHidden/>
    <w:unhideWhenUsed/>
    <w:rsid w:val="00821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andfonline.com/doi/pdf/10.1080/13562517.2016.1213232?needAccess=tr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blogs.kcl.ac.uk/aflkings/files/2018/09/Standardisation-FINAL.pdf" TargetMode="External"/><Relationship Id="rId17" Type="http://schemas.openxmlformats.org/officeDocument/2006/relationships/hyperlink" Target="file:///C:\Users\Chloe\Downloads\advice-and-guidance-assessme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605660/2014-02-14-standardisation-methods-mark-schemes-and-their-impact-on-marking-reliabilit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terbury.ac.uk/learning-and-teaching-enhancement/policies/timely-feedback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earchgate.net/publication/333116460_Investigating_a_new_method_for_standardising_essay_marking_using_levels-based_mark_schemes" TargetMode="External"/><Relationship Id="rId10" Type="http://schemas.openxmlformats.org/officeDocument/2006/relationships/hyperlink" Target="https://www.canterbury.ac.uk/quality-and-standards-office/regulations-policies-and-procedures/marking-procedures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erald.com/insight/content/doi/10.1108/QAE-05-2017-0018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2C587C2FCF14388C1202148308B9A" ma:contentTypeVersion="4" ma:contentTypeDescription="Create a new document." ma:contentTypeScope="" ma:versionID="450ed4e498f6ab723a707ad74a7b35d7">
  <xsd:schema xmlns:xsd="http://www.w3.org/2001/XMLSchema" xmlns:xs="http://www.w3.org/2001/XMLSchema" xmlns:p="http://schemas.microsoft.com/office/2006/metadata/properties" xmlns:ns2="e0805462-a546-41b7-a31a-0280ed549c30" targetNamespace="http://schemas.microsoft.com/office/2006/metadata/properties" ma:root="true" ma:fieldsID="12f5212c83e574e2256607d5e9de374b" ns2:_="">
    <xsd:import namespace="e0805462-a546-41b7-a31a-0280ed549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5462-a546-41b7-a31a-0280ed54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C7A53-8D03-4CA1-B807-DAE5D42B9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05462-a546-41b7-a31a-0280ed549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B7A57-9881-452F-9EA0-B6581CBAFC4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0805462-a546-41b7-a31a-0280ed549c3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262204-28DE-4272-8BE1-B0C43E81C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8458</Characters>
  <Application>Microsoft Office Word</Application>
  <DocSecurity>0</DocSecurity>
  <Lines>70</Lines>
  <Paragraphs>19</Paragraphs>
  <ScaleCrop>false</ScaleCrop>
  <Company>Canterbury Christ Church University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Courtenay</dc:creator>
  <cp:keywords/>
  <dc:description/>
  <cp:lastModifiedBy>Chloe Courtenay</cp:lastModifiedBy>
  <cp:revision>2</cp:revision>
  <dcterms:created xsi:type="dcterms:W3CDTF">2022-01-24T17:13:00Z</dcterms:created>
  <dcterms:modified xsi:type="dcterms:W3CDTF">2022-01-24T17:13:00Z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0x010100E6D2C587C2FCF14388C1202148308B9A</vt:lpwstr>
  </property>
</Properties>
</file>